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043E2" w14:textId="3E085ABF" w:rsidR="005A59B9" w:rsidRDefault="00D344D0" w:rsidP="006966EC">
      <w:pPr>
        <w:spacing w:line="245" w:lineRule="auto"/>
        <w:ind w:right="4291"/>
        <w:rPr>
          <w:sz w:val="29"/>
        </w:rPr>
      </w:pPr>
      <w:r>
        <w:rPr>
          <w:noProof/>
        </w:rPr>
        <mc:AlternateContent>
          <mc:Choice Requires="wps">
            <w:drawing>
              <wp:anchor distT="0" distB="0" distL="0" distR="0" simplePos="0" relativeHeight="251653632" behindDoc="0" locked="0" layoutInCell="1" allowOverlap="1" wp14:anchorId="71E28EDF" wp14:editId="54FB993D">
                <wp:simplePos x="0" y="0"/>
                <wp:positionH relativeFrom="margin">
                  <wp:align>right</wp:align>
                </wp:positionH>
                <wp:positionV relativeFrom="paragraph">
                  <wp:posOffset>333375</wp:posOffset>
                </wp:positionV>
                <wp:extent cx="6905625" cy="234950"/>
                <wp:effectExtent l="0" t="0" r="9525" b="0"/>
                <wp:wrapTopAndBottom/>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234950"/>
                        </a:xfrm>
                        <a:prstGeom prst="rect">
                          <a:avLst/>
                        </a:prstGeom>
                        <a:solidFill>
                          <a:srgbClr val="DEB2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FB3950F" id="Rectangle 8" o:spid="_x0000_s1026" style="position:absolute;margin-left:492.55pt;margin-top:26.25pt;width:543.75pt;height:18.5pt;z-index:2516536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" fillcolor="#deb209" stroked="f">
                <w10:wrap type="topAndBottom" anchorx="margin"/>
              </v:rect>
            </w:pict>
          </mc:Fallback>
        </mc:AlternateContent>
      </w:r>
      <w:r>
        <w:rPr>
          <w:noProof/>
        </w:rPr>
        <w:drawing>
          <wp:anchor distT="0" distB="0" distL="114300" distR="114300" simplePos="0" relativeHeight="251658240" behindDoc="1" locked="0" layoutInCell="1" allowOverlap="1" wp14:anchorId="398985F0" wp14:editId="65089989">
            <wp:simplePos x="0" y="0"/>
            <wp:positionH relativeFrom="column">
              <wp:posOffset>-133350</wp:posOffset>
            </wp:positionH>
            <wp:positionV relativeFrom="page">
              <wp:posOffset>152400</wp:posOffset>
            </wp:positionV>
            <wp:extent cx="3793490" cy="533400"/>
            <wp:effectExtent l="0" t="0" r="0" b="0"/>
            <wp:wrapTight wrapText="bothSides">
              <wp:wrapPolygon edited="0">
                <wp:start x="0" y="0"/>
                <wp:lineTo x="0" y="20829"/>
                <wp:lineTo x="21477" y="20829"/>
                <wp:lineTo x="21477"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SC wordmark 1500W.jpg"/>
                    <pic:cNvPicPr/>
                  </pic:nvPicPr>
                  <pic:blipFill rotWithShape="1">
                    <a:blip r:embed="rId6" cstate="print">
                      <a:extLst>
                        <a:ext uri="{28A0092B-C50C-407E-A947-70E740481C1C}">
                          <a14:useLocalDpi xmlns:a14="http://schemas.microsoft.com/office/drawing/2010/main" val="0"/>
                        </a:ext>
                      </a:extLst>
                    </a:blip>
                    <a:srcRect t="19931" b="22350"/>
                    <a:stretch/>
                  </pic:blipFill>
                  <pic:spPr bwMode="auto">
                    <a:xfrm>
                      <a:off x="0" y="0"/>
                      <a:ext cx="379349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690906" w14:textId="159EAFAD" w:rsidR="009B29D6" w:rsidRPr="008B72F1" w:rsidRDefault="00697400" w:rsidP="008D2D90">
      <w:pPr>
        <w:pStyle w:val="BodyText"/>
        <w:spacing w:before="120"/>
        <w:jc w:val="center"/>
        <w:rPr>
          <w:b/>
          <w:color w:val="244061" w:themeColor="accent1" w:themeShade="80"/>
          <w:sz w:val="28"/>
          <w:szCs w:val="32"/>
        </w:rPr>
      </w:pPr>
      <w:r w:rsidRPr="008B72F1">
        <w:rPr>
          <w:b/>
          <w:color w:val="244061" w:themeColor="accent1" w:themeShade="80"/>
          <w:sz w:val="28"/>
          <w:szCs w:val="32"/>
        </w:rPr>
        <w:t>Pre-Doctoral Clinical Research Training Program</w:t>
      </w:r>
    </w:p>
    <w:p w14:paraId="108BEF71" w14:textId="23A2B584" w:rsidR="008B72F1" w:rsidRDefault="00697400" w:rsidP="00FE6DB5">
      <w:pPr>
        <w:pStyle w:val="BodyText"/>
        <w:spacing w:after="120"/>
        <w:jc w:val="center"/>
        <w:rPr>
          <w:b/>
          <w:color w:val="244061" w:themeColor="accent1" w:themeShade="80"/>
        </w:rPr>
      </w:pPr>
      <w:r w:rsidRPr="008B72F1">
        <w:rPr>
          <w:b/>
          <w:color w:val="244061" w:themeColor="accent1" w:themeShade="80"/>
          <w:sz w:val="28"/>
          <w:szCs w:val="32"/>
        </w:rPr>
        <w:t xml:space="preserve">Call for Applications </w:t>
      </w:r>
    </w:p>
    <w:p w14:paraId="636D87BB" w14:textId="7F5AE3B3" w:rsidR="008B72F1" w:rsidRPr="008D2D90" w:rsidRDefault="00697400" w:rsidP="008D2D90">
      <w:pPr>
        <w:pStyle w:val="BodyText"/>
        <w:spacing w:line="276" w:lineRule="auto"/>
        <w:jc w:val="center"/>
        <w:rPr>
          <w:b/>
          <w:color w:val="E60000"/>
        </w:rPr>
      </w:pPr>
      <w:r w:rsidRPr="008D2D90">
        <w:rPr>
          <w:b/>
          <w:color w:val="E60000"/>
        </w:rPr>
        <w:t>Deadline to submit</w:t>
      </w:r>
      <w:r w:rsidR="00494F82" w:rsidRPr="008D2D90">
        <w:rPr>
          <w:b/>
          <w:color w:val="E60000"/>
        </w:rPr>
        <w:t xml:space="preserve"> —</w:t>
      </w:r>
      <w:r w:rsidRPr="008D2D90">
        <w:rPr>
          <w:b/>
          <w:color w:val="E60000"/>
        </w:rPr>
        <w:t xml:space="preserve"> </w:t>
      </w:r>
      <w:r w:rsidR="000B2171">
        <w:rPr>
          <w:b/>
          <w:color w:val="E60000"/>
        </w:rPr>
        <w:t>February 6</w:t>
      </w:r>
      <w:r w:rsidRPr="008D2D90">
        <w:rPr>
          <w:b/>
          <w:color w:val="E60000"/>
        </w:rPr>
        <w:t>, 202</w:t>
      </w:r>
      <w:r w:rsidR="008C4103">
        <w:rPr>
          <w:b/>
          <w:color w:val="E60000"/>
        </w:rPr>
        <w:t>2</w:t>
      </w:r>
      <w:r w:rsidR="00C13234" w:rsidRPr="008D2D90">
        <w:rPr>
          <w:b/>
          <w:color w:val="E60000"/>
        </w:rPr>
        <w:t>,</w:t>
      </w:r>
      <w:r w:rsidRPr="008D2D90">
        <w:rPr>
          <w:b/>
          <w:color w:val="E60000"/>
        </w:rPr>
        <w:t xml:space="preserve"> by </w:t>
      </w:r>
      <w:r w:rsidR="008C4103">
        <w:rPr>
          <w:b/>
          <w:color w:val="E60000"/>
        </w:rPr>
        <w:t>10</w:t>
      </w:r>
      <w:r w:rsidRPr="008D2D90">
        <w:rPr>
          <w:b/>
          <w:color w:val="E60000"/>
        </w:rPr>
        <w:t xml:space="preserve"> p</w:t>
      </w:r>
      <w:r w:rsidR="005E64D9" w:rsidRPr="008D2D90">
        <w:rPr>
          <w:b/>
          <w:color w:val="E60000"/>
        </w:rPr>
        <w:t>.m.</w:t>
      </w:r>
    </w:p>
    <w:p w14:paraId="6E9D06A0" w14:textId="77777777" w:rsidR="008D2D90" w:rsidRPr="006966EC" w:rsidRDefault="008D2D90" w:rsidP="008D2D90">
      <w:pPr>
        <w:jc w:val="center"/>
        <w:rPr>
          <w:bCs/>
          <w:sz w:val="21"/>
          <w:szCs w:val="21"/>
        </w:rPr>
      </w:pPr>
      <w:r w:rsidRPr="006966EC">
        <w:rPr>
          <w:bCs/>
          <w:sz w:val="21"/>
          <w:szCs w:val="21"/>
        </w:rPr>
        <w:t xml:space="preserve">All applications and supporting documents must be </w:t>
      </w:r>
      <w:r w:rsidRPr="006966EC">
        <w:rPr>
          <w:b/>
          <w:bCs/>
          <w:sz w:val="21"/>
          <w:szCs w:val="21"/>
        </w:rPr>
        <w:t>submitted electronically in a single PDF file</w:t>
      </w:r>
      <w:r w:rsidRPr="006966EC">
        <w:rPr>
          <w:bCs/>
          <w:sz w:val="21"/>
          <w:szCs w:val="21"/>
        </w:rPr>
        <w:t xml:space="preserve"> to</w:t>
      </w:r>
    </w:p>
    <w:p w14:paraId="6B6FECB7" w14:textId="7544F809" w:rsidR="00B574D6" w:rsidRDefault="008C4103" w:rsidP="00460010">
      <w:pPr>
        <w:pStyle w:val="BodyText"/>
        <w:spacing w:after="200"/>
        <w:jc w:val="center"/>
        <w:rPr>
          <w:sz w:val="21"/>
          <w:szCs w:val="21"/>
        </w:rPr>
      </w:pPr>
      <w:r>
        <w:rPr>
          <w:bCs/>
          <w:sz w:val="21"/>
          <w:szCs w:val="21"/>
        </w:rPr>
        <w:t>Stacy Hayashi</w:t>
      </w:r>
      <w:r w:rsidR="001F306D">
        <w:rPr>
          <w:bCs/>
          <w:sz w:val="21"/>
          <w:szCs w:val="21"/>
        </w:rPr>
        <w:t xml:space="preserve"> at</w:t>
      </w:r>
      <w:r>
        <w:rPr>
          <w:bCs/>
          <w:sz w:val="21"/>
          <w:szCs w:val="21"/>
        </w:rPr>
        <w:t xml:space="preserve"> </w:t>
      </w:r>
      <w:hyperlink r:id="rId7" w:history="1">
        <w:r w:rsidRPr="005F1893">
          <w:rPr>
            <w:rStyle w:val="Hyperlink"/>
            <w:bCs/>
            <w:sz w:val="21"/>
            <w:szCs w:val="21"/>
          </w:rPr>
          <w:t>sahayashi@ucdavis.edu</w:t>
        </w:r>
      </w:hyperlink>
      <w:r>
        <w:rPr>
          <w:bCs/>
          <w:sz w:val="21"/>
          <w:szCs w:val="21"/>
        </w:rPr>
        <w:t xml:space="preserve"> </w:t>
      </w:r>
    </w:p>
    <w:p w14:paraId="64DEF59B" w14:textId="0252D373" w:rsidR="00B574D6" w:rsidRDefault="009A46CA" w:rsidP="00BA66EA">
      <w:pPr>
        <w:pStyle w:val="BodyText"/>
        <w:rPr>
          <w:sz w:val="22"/>
          <w:szCs w:val="22"/>
        </w:rPr>
      </w:pPr>
      <w:r w:rsidRPr="00B574D6">
        <w:rPr>
          <w:sz w:val="22"/>
          <w:szCs w:val="22"/>
        </w:rPr>
        <w:t xml:space="preserve">The CTSC is pleased to announce a call for medical student applicants to receive research funding </w:t>
      </w:r>
      <w:r w:rsidR="00B574D6">
        <w:rPr>
          <w:sz w:val="22"/>
          <w:szCs w:val="22"/>
        </w:rPr>
        <w:t xml:space="preserve">during </w:t>
      </w:r>
      <w:r w:rsidR="00286D6C">
        <w:rPr>
          <w:sz w:val="22"/>
          <w:szCs w:val="22"/>
        </w:rPr>
        <w:t xml:space="preserve">a </w:t>
      </w:r>
      <w:r w:rsidR="00B574D6">
        <w:rPr>
          <w:sz w:val="22"/>
          <w:szCs w:val="22"/>
        </w:rPr>
        <w:t xml:space="preserve">research year. </w:t>
      </w:r>
      <w:r w:rsidR="00B574D6" w:rsidRPr="00B574D6">
        <w:rPr>
          <w:sz w:val="22"/>
          <w:szCs w:val="22"/>
        </w:rPr>
        <w:t xml:space="preserve">The overall goal of </w:t>
      </w:r>
      <w:r w:rsidR="00B574D6">
        <w:rPr>
          <w:sz w:val="22"/>
          <w:szCs w:val="22"/>
        </w:rPr>
        <w:t>training</w:t>
      </w:r>
      <w:r w:rsidR="00B574D6" w:rsidRPr="00B574D6">
        <w:rPr>
          <w:sz w:val="22"/>
          <w:szCs w:val="22"/>
        </w:rPr>
        <w:t xml:space="preserve"> is to provide pre-doctoral medical students with skills required to develop a career in multidisciplinary clinical and translational research relevant to human health.</w:t>
      </w:r>
    </w:p>
    <w:p w14:paraId="0B1A0D72" w14:textId="018274EE" w:rsidR="00B574D6" w:rsidRDefault="00B574D6" w:rsidP="00BA66EA">
      <w:pPr>
        <w:pStyle w:val="BodyText"/>
        <w:rPr>
          <w:sz w:val="22"/>
          <w:szCs w:val="22"/>
        </w:rPr>
      </w:pPr>
    </w:p>
    <w:p w14:paraId="3C3B26BC" w14:textId="62DB592A" w:rsidR="00B574D6" w:rsidRDefault="00B574D6" w:rsidP="00BA66EA">
      <w:pPr>
        <w:pStyle w:val="BodyText"/>
        <w:rPr>
          <w:sz w:val="22"/>
          <w:szCs w:val="22"/>
        </w:rPr>
      </w:pPr>
      <w:r w:rsidRPr="00B574D6">
        <w:rPr>
          <w:sz w:val="22"/>
          <w:szCs w:val="22"/>
        </w:rPr>
        <w:t>Applicants must identify a potential faculty mentor and develop a proposed research plan in consultation with that mentor, to be submitted with the application. Scholars will be selected based on a competitive application process in which student academic qualifications, career goals, and the quality of the training environment will be important considerations for funding. Award recipients are required to make a full-time research commitment to the training program for the entire period of support (June 1, 2022 - May 31, 2023).</w:t>
      </w:r>
    </w:p>
    <w:p w14:paraId="1D6CB15E" w14:textId="38279DBE" w:rsidR="00286D6C" w:rsidRDefault="00286D6C" w:rsidP="00B574D6">
      <w:pPr>
        <w:pStyle w:val="BodyText"/>
        <w:spacing w:before="120" w:after="120"/>
        <w:rPr>
          <w:sz w:val="22"/>
          <w:szCs w:val="22"/>
        </w:rPr>
      </w:pPr>
      <w:r>
        <w:rPr>
          <w:sz w:val="22"/>
          <w:szCs w:val="22"/>
        </w:rPr>
        <w:t>Funding for the research year is supported by:</w:t>
      </w:r>
    </w:p>
    <w:p w14:paraId="1462447A" w14:textId="1DD8B38C" w:rsidR="00B574D6" w:rsidRDefault="00B574D6" w:rsidP="00B574D6">
      <w:pPr>
        <w:pStyle w:val="BodyText"/>
        <w:spacing w:before="120" w:after="120"/>
        <w:rPr>
          <w:color w:val="000000"/>
          <w:sz w:val="22"/>
          <w:szCs w:val="22"/>
        </w:rPr>
      </w:pPr>
      <w:r w:rsidRPr="00B574D6">
        <w:rPr>
          <w:sz w:val="22"/>
          <w:szCs w:val="22"/>
        </w:rPr>
        <w:t xml:space="preserve">The </w:t>
      </w:r>
      <w:r w:rsidRPr="00B574D6">
        <w:rPr>
          <w:b/>
          <w:bCs/>
          <w:sz w:val="22"/>
          <w:szCs w:val="22"/>
        </w:rPr>
        <w:t>TL1 Pre-Doctoral Clinical Research Training Program (CTSC-TL1)</w:t>
      </w:r>
      <w:r>
        <w:rPr>
          <w:b/>
          <w:bCs/>
          <w:sz w:val="22"/>
          <w:szCs w:val="22"/>
        </w:rPr>
        <w:t xml:space="preserve"> </w:t>
      </w:r>
      <w:r w:rsidRPr="00B574D6">
        <w:rPr>
          <w:sz w:val="22"/>
          <w:szCs w:val="22"/>
        </w:rPr>
        <w:t>is</w:t>
      </w:r>
      <w:r>
        <w:rPr>
          <w:b/>
          <w:bCs/>
          <w:sz w:val="22"/>
          <w:szCs w:val="22"/>
        </w:rPr>
        <w:t xml:space="preserve"> </w:t>
      </w:r>
      <w:r w:rsidRPr="00B574D6">
        <w:rPr>
          <w:sz w:val="22"/>
          <w:szCs w:val="22"/>
        </w:rPr>
        <w:t>National Institutes of Health (NIH) sponsored</w:t>
      </w:r>
      <w:r>
        <w:rPr>
          <w:sz w:val="22"/>
          <w:szCs w:val="22"/>
        </w:rPr>
        <w:t xml:space="preserve"> and </w:t>
      </w:r>
      <w:r w:rsidRPr="00B574D6">
        <w:rPr>
          <w:sz w:val="22"/>
          <w:szCs w:val="22"/>
        </w:rPr>
        <w:t>is part of a fully integrated approach by the UC Davis CTSC to advance research education and training for multidisciplinary, clinical, and translational investigators working to improve human health.</w:t>
      </w:r>
      <w:r>
        <w:rPr>
          <w:sz w:val="22"/>
          <w:szCs w:val="22"/>
        </w:rPr>
        <w:t xml:space="preserve"> </w:t>
      </w:r>
      <w:r w:rsidRPr="00B574D6">
        <w:rPr>
          <w:sz w:val="22"/>
          <w:szCs w:val="22"/>
        </w:rPr>
        <w:t xml:space="preserve">Students selected for a CTSC-TL1 training award will receive a stipend, health insurance, and funds for research and travel expenses. </w:t>
      </w:r>
      <w:r w:rsidRPr="00B574D6">
        <w:rPr>
          <w:color w:val="000000"/>
          <w:sz w:val="22"/>
          <w:szCs w:val="22"/>
        </w:rPr>
        <w:t xml:space="preserve">Please be advised that the research budget must be administered under the current NIH directive with respect to clinical trial research and can only be used to offset research costs that do not </w:t>
      </w:r>
      <w:r w:rsidRPr="00B574D6">
        <w:rPr>
          <w:color w:val="000000"/>
          <w:sz w:val="22"/>
          <w:szCs w:val="22"/>
          <w:u w:val="single"/>
        </w:rPr>
        <w:t>directly</w:t>
      </w:r>
      <w:r w:rsidRPr="00B574D6">
        <w:rPr>
          <w:color w:val="000000"/>
          <w:sz w:val="22"/>
          <w:szCs w:val="22"/>
        </w:rPr>
        <w:t xml:space="preserve"> support clinical trials. </w:t>
      </w:r>
    </w:p>
    <w:p w14:paraId="700D1B36" w14:textId="13F8839E" w:rsidR="00B574D6" w:rsidRPr="00460010" w:rsidRDefault="00460010" w:rsidP="00460010">
      <w:pPr>
        <w:pStyle w:val="BodyText"/>
        <w:spacing w:before="120" w:after="120"/>
        <w:rPr>
          <w:color w:val="244061" w:themeColor="accent1" w:themeShade="80"/>
          <w:sz w:val="22"/>
          <w:szCs w:val="22"/>
        </w:rPr>
      </w:pPr>
      <w:r>
        <w:rPr>
          <w:color w:val="000000"/>
          <w:sz w:val="22"/>
          <w:szCs w:val="22"/>
        </w:rPr>
        <w:t xml:space="preserve">The </w:t>
      </w:r>
      <w:r w:rsidR="00286D6C" w:rsidRPr="00286D6C">
        <w:rPr>
          <w:b/>
          <w:bCs/>
          <w:color w:val="000000"/>
          <w:sz w:val="22"/>
          <w:szCs w:val="22"/>
        </w:rPr>
        <w:t>Daniel T.</w:t>
      </w:r>
      <w:r w:rsidR="00286D6C">
        <w:rPr>
          <w:color w:val="000000"/>
          <w:sz w:val="22"/>
          <w:szCs w:val="22"/>
        </w:rPr>
        <w:t xml:space="preserve"> </w:t>
      </w:r>
      <w:r w:rsidRPr="00B574D6">
        <w:rPr>
          <w:b/>
          <w:bCs/>
          <w:color w:val="000000"/>
          <w:sz w:val="22"/>
          <w:szCs w:val="22"/>
        </w:rPr>
        <w:t>O’Connor Grant</w:t>
      </w:r>
      <w:r>
        <w:rPr>
          <w:color w:val="000000"/>
          <w:sz w:val="22"/>
          <w:szCs w:val="22"/>
        </w:rPr>
        <w:t xml:space="preserve"> (private funding)</w:t>
      </w:r>
      <w:r w:rsidR="00286D6C">
        <w:rPr>
          <w:color w:val="000000"/>
          <w:sz w:val="22"/>
          <w:szCs w:val="22"/>
        </w:rPr>
        <w:t xml:space="preserve">, </w:t>
      </w:r>
      <w:r w:rsidR="00286D6C" w:rsidRPr="00286D6C">
        <w:rPr>
          <w:b/>
          <w:bCs/>
          <w:color w:val="000000"/>
          <w:sz w:val="22"/>
          <w:szCs w:val="22"/>
        </w:rPr>
        <w:t>Endowment Funds</w:t>
      </w:r>
      <w:r w:rsidR="00286D6C">
        <w:rPr>
          <w:b/>
          <w:bCs/>
          <w:color w:val="000000"/>
          <w:sz w:val="22"/>
          <w:szCs w:val="22"/>
        </w:rPr>
        <w:t>,</w:t>
      </w:r>
      <w:r>
        <w:rPr>
          <w:color w:val="000000"/>
          <w:sz w:val="22"/>
          <w:szCs w:val="22"/>
        </w:rPr>
        <w:t xml:space="preserve"> and </w:t>
      </w:r>
      <w:r w:rsidRPr="00B574D6">
        <w:rPr>
          <w:b/>
          <w:bCs/>
          <w:color w:val="000000"/>
          <w:sz w:val="22"/>
          <w:szCs w:val="22"/>
        </w:rPr>
        <w:t>School of Medicine</w:t>
      </w:r>
      <w:r>
        <w:rPr>
          <w:color w:val="000000"/>
          <w:sz w:val="22"/>
          <w:szCs w:val="22"/>
        </w:rPr>
        <w:t xml:space="preserve"> institutional funds are additional </w:t>
      </w:r>
      <w:r w:rsidR="00286D6C">
        <w:rPr>
          <w:color w:val="000000"/>
          <w:sz w:val="22"/>
          <w:szCs w:val="22"/>
        </w:rPr>
        <w:t xml:space="preserve">sources of funding for </w:t>
      </w:r>
      <w:r w:rsidR="00B574D6">
        <w:rPr>
          <w:color w:val="000000"/>
          <w:sz w:val="22"/>
          <w:szCs w:val="22"/>
        </w:rPr>
        <w:t xml:space="preserve">students </w:t>
      </w:r>
      <w:r>
        <w:rPr>
          <w:color w:val="000000"/>
          <w:sz w:val="22"/>
          <w:szCs w:val="22"/>
        </w:rPr>
        <w:t>to pursue a research year.  Students in these programs will participate in the TL1 program activities and will follow the same training requirements.</w:t>
      </w:r>
    </w:p>
    <w:p w14:paraId="6B909ECB" w14:textId="579CFEBD" w:rsidR="008B72F1" w:rsidRPr="00B574D6" w:rsidRDefault="008B72F1" w:rsidP="001F306D">
      <w:pPr>
        <w:pStyle w:val="Default"/>
        <w:spacing w:before="120" w:after="120" w:line="276" w:lineRule="auto"/>
        <w:rPr>
          <w:sz w:val="22"/>
          <w:szCs w:val="22"/>
          <w:lang w:val="nl-NL"/>
        </w:rPr>
      </w:pPr>
      <w:r w:rsidRPr="00B574D6">
        <w:rPr>
          <w:b/>
          <w:sz w:val="22"/>
          <w:szCs w:val="22"/>
          <w:lang w:val="nl-NL"/>
        </w:rPr>
        <w:t>Eligibility Criteria</w:t>
      </w:r>
    </w:p>
    <w:p w14:paraId="2628B733" w14:textId="77777777" w:rsidR="008B72F1" w:rsidRPr="00460010" w:rsidRDefault="008B72F1" w:rsidP="001F306D">
      <w:pPr>
        <w:pStyle w:val="Default"/>
        <w:widowControl w:val="0"/>
        <w:numPr>
          <w:ilvl w:val="0"/>
          <w:numId w:val="11"/>
        </w:numPr>
        <w:rPr>
          <w:sz w:val="21"/>
          <w:szCs w:val="21"/>
        </w:rPr>
      </w:pPr>
      <w:r w:rsidRPr="00460010">
        <w:rPr>
          <w:sz w:val="21"/>
          <w:szCs w:val="21"/>
        </w:rPr>
        <w:t>UC Davis medical student in good standing</w:t>
      </w:r>
    </w:p>
    <w:p w14:paraId="0308F746" w14:textId="77777777" w:rsidR="008B72F1" w:rsidRPr="00460010" w:rsidRDefault="008B72F1" w:rsidP="001F306D">
      <w:pPr>
        <w:pStyle w:val="Default"/>
        <w:widowControl w:val="0"/>
        <w:numPr>
          <w:ilvl w:val="0"/>
          <w:numId w:val="11"/>
        </w:numPr>
        <w:rPr>
          <w:sz w:val="21"/>
          <w:szCs w:val="21"/>
        </w:rPr>
      </w:pPr>
      <w:r w:rsidRPr="00460010">
        <w:rPr>
          <w:sz w:val="21"/>
          <w:szCs w:val="21"/>
        </w:rPr>
        <w:t>Strong academic credentials and good communication skills</w:t>
      </w:r>
    </w:p>
    <w:p w14:paraId="0A02E072" w14:textId="3CE56A7B" w:rsidR="008B72F1" w:rsidRPr="00460010" w:rsidRDefault="008B72F1" w:rsidP="001F306D">
      <w:pPr>
        <w:pStyle w:val="Default"/>
        <w:widowControl w:val="0"/>
        <w:numPr>
          <w:ilvl w:val="0"/>
          <w:numId w:val="11"/>
        </w:numPr>
        <w:rPr>
          <w:sz w:val="21"/>
          <w:szCs w:val="21"/>
        </w:rPr>
      </w:pPr>
      <w:r w:rsidRPr="00460010">
        <w:rPr>
          <w:sz w:val="21"/>
          <w:szCs w:val="21"/>
        </w:rPr>
        <w:t>Ability to commit full</w:t>
      </w:r>
      <w:r w:rsidR="00494F82" w:rsidRPr="00460010">
        <w:rPr>
          <w:sz w:val="21"/>
          <w:szCs w:val="21"/>
        </w:rPr>
        <w:t>-</w:t>
      </w:r>
      <w:r w:rsidRPr="00460010">
        <w:rPr>
          <w:sz w:val="21"/>
          <w:szCs w:val="21"/>
        </w:rPr>
        <w:t xml:space="preserve">time effort to the Training Program for the entire period of funding </w:t>
      </w:r>
    </w:p>
    <w:p w14:paraId="2B6928BE" w14:textId="77777777" w:rsidR="008B72F1" w:rsidRPr="00460010" w:rsidRDefault="008B72F1" w:rsidP="001F306D">
      <w:pPr>
        <w:pStyle w:val="Default"/>
        <w:widowControl w:val="0"/>
        <w:numPr>
          <w:ilvl w:val="0"/>
          <w:numId w:val="11"/>
        </w:numPr>
        <w:rPr>
          <w:sz w:val="21"/>
          <w:szCs w:val="21"/>
        </w:rPr>
      </w:pPr>
      <w:r w:rsidRPr="00460010">
        <w:rPr>
          <w:sz w:val="21"/>
          <w:szCs w:val="21"/>
        </w:rPr>
        <w:t>Proposed research project must be relevant to human health</w:t>
      </w:r>
    </w:p>
    <w:p w14:paraId="7C4CDBC0" w14:textId="77777777" w:rsidR="008B72F1" w:rsidRPr="00460010" w:rsidRDefault="008B72F1" w:rsidP="001F306D">
      <w:pPr>
        <w:pStyle w:val="Default"/>
        <w:widowControl w:val="0"/>
        <w:numPr>
          <w:ilvl w:val="0"/>
          <w:numId w:val="11"/>
        </w:numPr>
        <w:rPr>
          <w:sz w:val="21"/>
          <w:szCs w:val="21"/>
        </w:rPr>
      </w:pPr>
      <w:r w:rsidRPr="00460010">
        <w:rPr>
          <w:sz w:val="21"/>
          <w:szCs w:val="21"/>
        </w:rPr>
        <w:t xml:space="preserve">Interest in developing a career in multidisciplinary, translational biomedical research </w:t>
      </w:r>
    </w:p>
    <w:p w14:paraId="2B97446F" w14:textId="77777777" w:rsidR="008B72F1" w:rsidRPr="00460010" w:rsidRDefault="008B72F1" w:rsidP="001F306D">
      <w:pPr>
        <w:pStyle w:val="Default"/>
        <w:widowControl w:val="0"/>
        <w:numPr>
          <w:ilvl w:val="0"/>
          <w:numId w:val="11"/>
        </w:numPr>
        <w:rPr>
          <w:sz w:val="21"/>
          <w:szCs w:val="21"/>
        </w:rPr>
      </w:pPr>
      <w:r w:rsidRPr="00460010">
        <w:rPr>
          <w:sz w:val="21"/>
          <w:szCs w:val="21"/>
        </w:rPr>
        <w:t>Identification of a faculty mentor and strong mentor support</w:t>
      </w:r>
    </w:p>
    <w:p w14:paraId="652912F0" w14:textId="627F7442" w:rsidR="008B72F1" w:rsidRPr="00460010" w:rsidRDefault="008B72F1" w:rsidP="001F306D">
      <w:pPr>
        <w:pStyle w:val="Default"/>
        <w:widowControl w:val="0"/>
        <w:numPr>
          <w:ilvl w:val="0"/>
          <w:numId w:val="11"/>
        </w:numPr>
        <w:rPr>
          <w:b/>
          <w:bCs/>
          <w:sz w:val="21"/>
          <w:szCs w:val="21"/>
        </w:rPr>
      </w:pPr>
      <w:r w:rsidRPr="00460010">
        <w:rPr>
          <w:sz w:val="21"/>
          <w:szCs w:val="21"/>
        </w:rPr>
        <w:t>U.S. citizen, noncitizen nationals, or have legal admission into the U.S. as a permanent citizen at the time of application (temporary or student visas are NOT eligible)</w:t>
      </w:r>
      <w:r w:rsidR="00B574D6" w:rsidRPr="00460010">
        <w:rPr>
          <w:sz w:val="21"/>
          <w:szCs w:val="21"/>
        </w:rPr>
        <w:t xml:space="preserve"> </w:t>
      </w:r>
      <w:r w:rsidR="00B574D6" w:rsidRPr="00460010">
        <w:rPr>
          <w:b/>
          <w:bCs/>
          <w:sz w:val="21"/>
          <w:szCs w:val="21"/>
        </w:rPr>
        <w:t>This applies to the TL1 only.</w:t>
      </w:r>
    </w:p>
    <w:p w14:paraId="73C87F5D" w14:textId="4832D802" w:rsidR="008B72F1" w:rsidRPr="00B574D6" w:rsidRDefault="008B72F1" w:rsidP="001F306D">
      <w:pPr>
        <w:spacing w:before="120" w:after="120" w:line="276" w:lineRule="auto"/>
      </w:pPr>
      <w:r w:rsidRPr="00B574D6">
        <w:rPr>
          <w:b/>
        </w:rPr>
        <w:t>Application Procedure</w:t>
      </w:r>
    </w:p>
    <w:p w14:paraId="6DCB0E7D" w14:textId="77777777" w:rsidR="008B72F1" w:rsidRPr="00B574D6" w:rsidRDefault="008B72F1" w:rsidP="001F306D">
      <w:pPr>
        <w:spacing w:before="120" w:after="120"/>
      </w:pPr>
      <w:r w:rsidRPr="00B574D6">
        <w:t>Candidates must submit a formal application with the following supporting documents in a single PDF file</w:t>
      </w:r>
      <w:r w:rsidR="002E6BB2" w:rsidRPr="00B574D6">
        <w:t>:</w:t>
      </w:r>
    </w:p>
    <w:p w14:paraId="21F7CD6B" w14:textId="26C85A1A" w:rsidR="008B72F1" w:rsidRPr="00460010" w:rsidRDefault="008B72F1" w:rsidP="001F306D">
      <w:pPr>
        <w:pStyle w:val="Default"/>
        <w:widowControl w:val="0"/>
        <w:numPr>
          <w:ilvl w:val="0"/>
          <w:numId w:val="14"/>
        </w:numPr>
        <w:rPr>
          <w:sz w:val="21"/>
          <w:szCs w:val="21"/>
        </w:rPr>
      </w:pPr>
      <w:r w:rsidRPr="00460010">
        <w:rPr>
          <w:sz w:val="21"/>
          <w:szCs w:val="21"/>
        </w:rPr>
        <w:t>Completed CTSC-TL1 Training Program application form and CV</w:t>
      </w:r>
      <w:r w:rsidR="00E158BA">
        <w:rPr>
          <w:sz w:val="21"/>
          <w:szCs w:val="21"/>
        </w:rPr>
        <w:t xml:space="preserve"> </w:t>
      </w:r>
    </w:p>
    <w:p w14:paraId="3A904D06" w14:textId="77777777" w:rsidR="008B72F1" w:rsidRPr="00460010" w:rsidRDefault="008B72F1" w:rsidP="001F306D">
      <w:pPr>
        <w:pStyle w:val="Default"/>
        <w:widowControl w:val="0"/>
        <w:numPr>
          <w:ilvl w:val="0"/>
          <w:numId w:val="14"/>
        </w:numPr>
        <w:rPr>
          <w:sz w:val="21"/>
          <w:szCs w:val="21"/>
        </w:rPr>
      </w:pPr>
      <w:r w:rsidRPr="00460010">
        <w:rPr>
          <w:sz w:val="21"/>
          <w:szCs w:val="21"/>
        </w:rPr>
        <w:t>Two letters of recommendation, one must be from the proposed faculty mentor(s)</w:t>
      </w:r>
    </w:p>
    <w:p w14:paraId="3501FCAB" w14:textId="7C53F616" w:rsidR="001F306D" w:rsidRPr="00460010" w:rsidRDefault="008B72F1" w:rsidP="000B2171">
      <w:pPr>
        <w:pStyle w:val="Default"/>
        <w:widowControl w:val="0"/>
        <w:numPr>
          <w:ilvl w:val="0"/>
          <w:numId w:val="14"/>
        </w:numPr>
        <w:rPr>
          <w:sz w:val="21"/>
          <w:szCs w:val="21"/>
        </w:rPr>
      </w:pPr>
      <w:r w:rsidRPr="00460010">
        <w:rPr>
          <w:sz w:val="21"/>
          <w:szCs w:val="21"/>
        </w:rPr>
        <w:t xml:space="preserve">Mentor’s </w:t>
      </w:r>
      <w:proofErr w:type="spellStart"/>
      <w:r w:rsidR="006966EC" w:rsidRPr="00460010">
        <w:rPr>
          <w:sz w:val="21"/>
          <w:szCs w:val="21"/>
        </w:rPr>
        <w:t>b</w:t>
      </w:r>
      <w:r w:rsidRPr="00460010">
        <w:rPr>
          <w:sz w:val="21"/>
          <w:szCs w:val="21"/>
        </w:rPr>
        <w:t>iosketch</w:t>
      </w:r>
      <w:proofErr w:type="spellEnd"/>
      <w:r w:rsidRPr="00460010">
        <w:rPr>
          <w:sz w:val="21"/>
          <w:szCs w:val="21"/>
        </w:rPr>
        <w:t xml:space="preserve"> </w:t>
      </w:r>
    </w:p>
    <w:p w14:paraId="14B91881" w14:textId="77777777" w:rsidR="00460010" w:rsidRDefault="00460010" w:rsidP="00B574D6">
      <w:pPr>
        <w:pStyle w:val="Default"/>
        <w:spacing w:before="120" w:after="120"/>
        <w:rPr>
          <w:sz w:val="22"/>
          <w:szCs w:val="22"/>
        </w:rPr>
      </w:pPr>
    </w:p>
    <w:p w14:paraId="6D43752C" w14:textId="71EC63AF" w:rsidR="00B574D6" w:rsidRPr="00460010" w:rsidRDefault="00460010" w:rsidP="00B574D6">
      <w:pPr>
        <w:pStyle w:val="Default"/>
        <w:spacing w:before="120" w:after="120"/>
        <w:rPr>
          <w:sz w:val="22"/>
          <w:szCs w:val="22"/>
        </w:rPr>
      </w:pPr>
      <w:r>
        <w:rPr>
          <w:sz w:val="22"/>
          <w:szCs w:val="22"/>
        </w:rPr>
        <w:t>A</w:t>
      </w:r>
      <w:r w:rsidR="008B72F1" w:rsidRPr="00B574D6">
        <w:rPr>
          <w:sz w:val="22"/>
          <w:szCs w:val="22"/>
        </w:rPr>
        <w:t>pplications will be reviewed by a CTSC committee chaired by Valentina Medici</w:t>
      </w:r>
      <w:r w:rsidR="002E6BB2" w:rsidRPr="00B574D6">
        <w:rPr>
          <w:sz w:val="22"/>
          <w:szCs w:val="22"/>
        </w:rPr>
        <w:t>, M.D.</w:t>
      </w:r>
      <w:r w:rsidR="00BA66EA" w:rsidRPr="00B574D6">
        <w:rPr>
          <w:sz w:val="22"/>
          <w:szCs w:val="22"/>
        </w:rPr>
        <w:t>,</w:t>
      </w:r>
      <w:r w:rsidR="003E4132" w:rsidRPr="00B574D6">
        <w:rPr>
          <w:sz w:val="22"/>
          <w:szCs w:val="22"/>
        </w:rPr>
        <w:t xml:space="preserve"> and Saul Schafer, M.D.</w:t>
      </w:r>
    </w:p>
    <w:p w14:paraId="53B083F6" w14:textId="3289D880" w:rsidR="00FE6DB5" w:rsidRPr="00B574D6" w:rsidRDefault="008B72F1" w:rsidP="00B574D6">
      <w:pPr>
        <w:pStyle w:val="Default"/>
        <w:spacing w:before="120" w:after="120"/>
        <w:rPr>
          <w:sz w:val="22"/>
          <w:szCs w:val="22"/>
        </w:rPr>
      </w:pPr>
      <w:r w:rsidRPr="00B574D6">
        <w:rPr>
          <w:b/>
          <w:sz w:val="22"/>
          <w:szCs w:val="22"/>
        </w:rPr>
        <w:t>For questions or to receive an application</w:t>
      </w:r>
      <w:r w:rsidRPr="00B574D6">
        <w:rPr>
          <w:sz w:val="22"/>
          <w:szCs w:val="22"/>
        </w:rPr>
        <w:t xml:space="preserve">, please contact </w:t>
      </w:r>
      <w:r w:rsidR="008C4103" w:rsidRPr="00B574D6">
        <w:rPr>
          <w:sz w:val="22"/>
          <w:szCs w:val="22"/>
        </w:rPr>
        <w:t>Stacy Hayashi</w:t>
      </w:r>
      <w:r w:rsidRPr="00B574D6">
        <w:rPr>
          <w:sz w:val="22"/>
          <w:szCs w:val="22"/>
        </w:rPr>
        <w:t xml:space="preserve"> at</w:t>
      </w:r>
      <w:r w:rsidR="00BA66EA" w:rsidRPr="00B574D6">
        <w:rPr>
          <w:sz w:val="22"/>
          <w:szCs w:val="22"/>
        </w:rPr>
        <w:t xml:space="preserve"> </w:t>
      </w:r>
      <w:hyperlink r:id="rId8" w:history="1">
        <w:r w:rsidR="008C4103" w:rsidRPr="00B574D6">
          <w:rPr>
            <w:rStyle w:val="Hyperlink"/>
            <w:sz w:val="22"/>
            <w:szCs w:val="22"/>
          </w:rPr>
          <w:t>sahayashi@ucdavis.edu</w:t>
        </w:r>
      </w:hyperlink>
    </w:p>
    <w:p w14:paraId="2DAC8D76" w14:textId="6D2666DC" w:rsidR="00B574D6" w:rsidRPr="00460010" w:rsidRDefault="00B574D6" w:rsidP="00460010">
      <w:pPr>
        <w:pStyle w:val="BodyText"/>
        <w:jc w:val="center"/>
        <w:rPr>
          <w:sz w:val="21"/>
          <w:szCs w:val="21"/>
        </w:rPr>
      </w:pPr>
      <w:r w:rsidRPr="00460010">
        <w:rPr>
          <w:b/>
          <w:bCs/>
          <w:i/>
          <w:iCs/>
          <w:sz w:val="21"/>
          <w:szCs w:val="21"/>
        </w:rPr>
        <w:t>Our program is strongly committed to diversity and inclusion and would especially welcome applications from historically underrepresented racial and ethnic minority groups.</w:t>
      </w:r>
    </w:p>
    <w:sectPr w:rsidR="00B574D6" w:rsidRPr="00460010" w:rsidSect="00D344D0">
      <w:pgSz w:w="12240" w:h="15840"/>
      <w:pgMar w:top="630" w:right="720" w:bottom="576"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8008C"/>
    <w:multiLevelType w:val="hybridMultilevel"/>
    <w:tmpl w:val="53AA3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4CF"/>
    <w:multiLevelType w:val="hybridMultilevel"/>
    <w:tmpl w:val="F8B844F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14A70072"/>
    <w:multiLevelType w:val="hybridMultilevel"/>
    <w:tmpl w:val="DA3E2DBC"/>
    <w:lvl w:ilvl="0" w:tplc="FAA400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EF561B"/>
    <w:multiLevelType w:val="hybridMultilevel"/>
    <w:tmpl w:val="559A8BF0"/>
    <w:lvl w:ilvl="0" w:tplc="DA74360E">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0F683F"/>
    <w:multiLevelType w:val="hybridMultilevel"/>
    <w:tmpl w:val="F1E233D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62279E"/>
    <w:multiLevelType w:val="hybridMultilevel"/>
    <w:tmpl w:val="30C8DAFC"/>
    <w:lvl w:ilvl="0" w:tplc="12BAC364">
      <w:numFmt w:val="bullet"/>
      <w:lvlText w:val="•"/>
      <w:lvlJc w:val="left"/>
      <w:pPr>
        <w:ind w:left="720" w:hanging="360"/>
      </w:pPr>
      <w:rPr>
        <w:rFonts w:hint="default"/>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770E44"/>
    <w:multiLevelType w:val="hybridMultilevel"/>
    <w:tmpl w:val="055CF86C"/>
    <w:lvl w:ilvl="0" w:tplc="04090001">
      <w:start w:val="1"/>
      <w:numFmt w:val="bullet"/>
      <w:lvlText w:val=""/>
      <w:lvlJc w:val="left"/>
      <w:pPr>
        <w:ind w:left="720" w:hanging="360"/>
      </w:pPr>
      <w:rPr>
        <w:rFonts w:ascii="Symbol" w:hAnsi="Symbol" w:hint="default"/>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536B4F"/>
    <w:multiLevelType w:val="hybridMultilevel"/>
    <w:tmpl w:val="E57E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E0810"/>
    <w:multiLevelType w:val="hybridMultilevel"/>
    <w:tmpl w:val="1C6476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092D5D"/>
    <w:multiLevelType w:val="hybridMultilevel"/>
    <w:tmpl w:val="FB7C49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D457B57"/>
    <w:multiLevelType w:val="hybridMultilevel"/>
    <w:tmpl w:val="1BFACA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59978E1"/>
    <w:multiLevelType w:val="hybridMultilevel"/>
    <w:tmpl w:val="3BB27FD4"/>
    <w:lvl w:ilvl="0" w:tplc="71E6F4EE">
      <w:numFmt w:val="bullet"/>
      <w:lvlText w:val=""/>
      <w:lvlJc w:val="left"/>
      <w:pPr>
        <w:ind w:left="626" w:hanging="320"/>
      </w:pPr>
      <w:rPr>
        <w:rFonts w:ascii="Symbol" w:eastAsia="Symbol" w:hAnsi="Symbol" w:cs="Symbol" w:hint="default"/>
        <w:color w:val="004988"/>
        <w:w w:val="100"/>
        <w:sz w:val="24"/>
        <w:szCs w:val="24"/>
        <w:lang w:val="en-US" w:eastAsia="en-US" w:bidi="en-US"/>
      </w:rPr>
    </w:lvl>
    <w:lvl w:ilvl="1" w:tplc="12BAC364">
      <w:numFmt w:val="bullet"/>
      <w:lvlText w:val="•"/>
      <w:lvlJc w:val="left"/>
      <w:pPr>
        <w:ind w:left="1606" w:hanging="320"/>
      </w:pPr>
      <w:rPr>
        <w:rFonts w:hint="default"/>
        <w:lang w:val="en-US" w:eastAsia="en-US" w:bidi="en-US"/>
      </w:rPr>
    </w:lvl>
    <w:lvl w:ilvl="2" w:tplc="8F7C2574">
      <w:numFmt w:val="bullet"/>
      <w:lvlText w:val="•"/>
      <w:lvlJc w:val="left"/>
      <w:pPr>
        <w:ind w:left="2592" w:hanging="320"/>
      </w:pPr>
      <w:rPr>
        <w:rFonts w:hint="default"/>
        <w:lang w:val="en-US" w:eastAsia="en-US" w:bidi="en-US"/>
      </w:rPr>
    </w:lvl>
    <w:lvl w:ilvl="3" w:tplc="343AF61C">
      <w:numFmt w:val="bullet"/>
      <w:lvlText w:val="•"/>
      <w:lvlJc w:val="left"/>
      <w:pPr>
        <w:ind w:left="3578" w:hanging="320"/>
      </w:pPr>
      <w:rPr>
        <w:rFonts w:hint="default"/>
        <w:lang w:val="en-US" w:eastAsia="en-US" w:bidi="en-US"/>
      </w:rPr>
    </w:lvl>
    <w:lvl w:ilvl="4" w:tplc="40B0EC30">
      <w:numFmt w:val="bullet"/>
      <w:lvlText w:val="•"/>
      <w:lvlJc w:val="left"/>
      <w:pPr>
        <w:ind w:left="4564" w:hanging="320"/>
      </w:pPr>
      <w:rPr>
        <w:rFonts w:hint="default"/>
        <w:lang w:val="en-US" w:eastAsia="en-US" w:bidi="en-US"/>
      </w:rPr>
    </w:lvl>
    <w:lvl w:ilvl="5" w:tplc="9FC6216A">
      <w:numFmt w:val="bullet"/>
      <w:lvlText w:val="•"/>
      <w:lvlJc w:val="left"/>
      <w:pPr>
        <w:ind w:left="5550" w:hanging="320"/>
      </w:pPr>
      <w:rPr>
        <w:rFonts w:hint="default"/>
        <w:lang w:val="en-US" w:eastAsia="en-US" w:bidi="en-US"/>
      </w:rPr>
    </w:lvl>
    <w:lvl w:ilvl="6" w:tplc="48762B76">
      <w:numFmt w:val="bullet"/>
      <w:lvlText w:val="•"/>
      <w:lvlJc w:val="left"/>
      <w:pPr>
        <w:ind w:left="6536" w:hanging="320"/>
      </w:pPr>
      <w:rPr>
        <w:rFonts w:hint="default"/>
        <w:lang w:val="en-US" w:eastAsia="en-US" w:bidi="en-US"/>
      </w:rPr>
    </w:lvl>
    <w:lvl w:ilvl="7" w:tplc="AE08071A">
      <w:numFmt w:val="bullet"/>
      <w:lvlText w:val="•"/>
      <w:lvlJc w:val="left"/>
      <w:pPr>
        <w:ind w:left="7522" w:hanging="320"/>
      </w:pPr>
      <w:rPr>
        <w:rFonts w:hint="default"/>
        <w:lang w:val="en-US" w:eastAsia="en-US" w:bidi="en-US"/>
      </w:rPr>
    </w:lvl>
    <w:lvl w:ilvl="8" w:tplc="C444D6D8">
      <w:numFmt w:val="bullet"/>
      <w:lvlText w:val="•"/>
      <w:lvlJc w:val="left"/>
      <w:pPr>
        <w:ind w:left="8508" w:hanging="320"/>
      </w:pPr>
      <w:rPr>
        <w:rFonts w:hint="default"/>
        <w:lang w:val="en-US" w:eastAsia="en-US" w:bidi="en-US"/>
      </w:rPr>
    </w:lvl>
  </w:abstractNum>
  <w:abstractNum w:abstractNumId="12" w15:restartNumberingAfterBreak="0">
    <w:nsid w:val="66022854"/>
    <w:multiLevelType w:val="hybridMultilevel"/>
    <w:tmpl w:val="94BC6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4E339E"/>
    <w:multiLevelType w:val="hybridMultilevel"/>
    <w:tmpl w:val="F43EAABE"/>
    <w:lvl w:ilvl="0" w:tplc="18BE7D66">
      <w:start w:val="1"/>
      <w:numFmt w:val="bullet"/>
      <w:lvlText w:val=""/>
      <w:lvlJc w:val="left"/>
      <w:pPr>
        <w:tabs>
          <w:tab w:val="num" w:pos="900"/>
        </w:tabs>
        <w:ind w:left="90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13"/>
  </w:num>
  <w:num w:numId="4">
    <w:abstractNumId w:val="4"/>
  </w:num>
  <w:num w:numId="5">
    <w:abstractNumId w:val="12"/>
  </w:num>
  <w:num w:numId="6">
    <w:abstractNumId w:val="1"/>
  </w:num>
  <w:num w:numId="7">
    <w:abstractNumId w:val="7"/>
  </w:num>
  <w:num w:numId="8">
    <w:abstractNumId w:val="0"/>
  </w:num>
  <w:num w:numId="9">
    <w:abstractNumId w:val="2"/>
  </w:num>
  <w:num w:numId="10">
    <w:abstractNumId w:val="8"/>
  </w:num>
  <w:num w:numId="11">
    <w:abstractNumId w:val="9"/>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NLY0sDA0NjMwtTRV0lEKTi0uzszPAykwrgUAmT5OxywAAAA="/>
  </w:docVars>
  <w:rsids>
    <w:rsidRoot w:val="005A59B9"/>
    <w:rsid w:val="00002514"/>
    <w:rsid w:val="00036CE0"/>
    <w:rsid w:val="0004437E"/>
    <w:rsid w:val="00046AF0"/>
    <w:rsid w:val="000B2171"/>
    <w:rsid w:val="000F576C"/>
    <w:rsid w:val="001A791E"/>
    <w:rsid w:val="001F306D"/>
    <w:rsid w:val="0025314C"/>
    <w:rsid w:val="00286D6C"/>
    <w:rsid w:val="00296CAE"/>
    <w:rsid w:val="002E6BB2"/>
    <w:rsid w:val="00334130"/>
    <w:rsid w:val="003668CB"/>
    <w:rsid w:val="003732E7"/>
    <w:rsid w:val="003903FB"/>
    <w:rsid w:val="003E4132"/>
    <w:rsid w:val="00460010"/>
    <w:rsid w:val="00494F82"/>
    <w:rsid w:val="00506051"/>
    <w:rsid w:val="0054691B"/>
    <w:rsid w:val="005544F7"/>
    <w:rsid w:val="00565D63"/>
    <w:rsid w:val="005A59B9"/>
    <w:rsid w:val="005C3233"/>
    <w:rsid w:val="005D23D8"/>
    <w:rsid w:val="005E64D9"/>
    <w:rsid w:val="00601CC3"/>
    <w:rsid w:val="0060282E"/>
    <w:rsid w:val="00652731"/>
    <w:rsid w:val="00671A0A"/>
    <w:rsid w:val="006966EC"/>
    <w:rsid w:val="00697400"/>
    <w:rsid w:val="006C67BF"/>
    <w:rsid w:val="006D71FF"/>
    <w:rsid w:val="00711E1E"/>
    <w:rsid w:val="00744D48"/>
    <w:rsid w:val="007E5BF2"/>
    <w:rsid w:val="00801BBA"/>
    <w:rsid w:val="00891C6B"/>
    <w:rsid w:val="008B72F1"/>
    <w:rsid w:val="008C4103"/>
    <w:rsid w:val="008D2D90"/>
    <w:rsid w:val="008F46B2"/>
    <w:rsid w:val="00907C1D"/>
    <w:rsid w:val="00951BD3"/>
    <w:rsid w:val="00953C11"/>
    <w:rsid w:val="00955EBB"/>
    <w:rsid w:val="00977B78"/>
    <w:rsid w:val="009A46CA"/>
    <w:rsid w:val="009B29D6"/>
    <w:rsid w:val="009B6A6B"/>
    <w:rsid w:val="00A12CF1"/>
    <w:rsid w:val="00A556FA"/>
    <w:rsid w:val="00A8402A"/>
    <w:rsid w:val="00AA6F23"/>
    <w:rsid w:val="00AD7F7B"/>
    <w:rsid w:val="00AE30E3"/>
    <w:rsid w:val="00B02FF2"/>
    <w:rsid w:val="00B11328"/>
    <w:rsid w:val="00B574D6"/>
    <w:rsid w:val="00B86C9B"/>
    <w:rsid w:val="00BA66EA"/>
    <w:rsid w:val="00C00E17"/>
    <w:rsid w:val="00C13234"/>
    <w:rsid w:val="00C2301F"/>
    <w:rsid w:val="00C7435E"/>
    <w:rsid w:val="00CB658C"/>
    <w:rsid w:val="00D344D0"/>
    <w:rsid w:val="00D3671D"/>
    <w:rsid w:val="00DF6FB0"/>
    <w:rsid w:val="00E00D6F"/>
    <w:rsid w:val="00E158BA"/>
    <w:rsid w:val="00E42999"/>
    <w:rsid w:val="00E6006F"/>
    <w:rsid w:val="00ED77B3"/>
    <w:rsid w:val="00F16593"/>
    <w:rsid w:val="00F447A6"/>
    <w:rsid w:val="00F47E68"/>
    <w:rsid w:val="00F853AB"/>
    <w:rsid w:val="00FC76BE"/>
    <w:rsid w:val="00FD2B59"/>
    <w:rsid w:val="00FE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EF3C"/>
  <w15:docId w15:val="{78E47F1D-9524-4B84-8515-BF3AE476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6"/>
      <w:outlineLvl w:val="0"/>
    </w:pPr>
    <w:rPr>
      <w:b/>
      <w:bCs/>
      <w:sz w:val="36"/>
      <w:szCs w:val="36"/>
    </w:rPr>
  </w:style>
  <w:style w:type="paragraph" w:styleId="Heading2">
    <w:name w:val="heading 2"/>
    <w:basedOn w:val="Normal"/>
    <w:uiPriority w:val="9"/>
    <w:unhideWhenUsed/>
    <w:qFormat/>
    <w:pPr>
      <w:spacing w:before="6"/>
      <w:ind w:left="106"/>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7"/>
      <w:ind w:left="626" w:right="4210" w:hanging="3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23D8"/>
    <w:rPr>
      <w:color w:val="0000FF" w:themeColor="hyperlink"/>
      <w:u w:val="single"/>
    </w:rPr>
  </w:style>
  <w:style w:type="character" w:styleId="UnresolvedMention">
    <w:name w:val="Unresolved Mention"/>
    <w:basedOn w:val="DefaultParagraphFont"/>
    <w:uiPriority w:val="99"/>
    <w:semiHidden/>
    <w:unhideWhenUsed/>
    <w:rsid w:val="005D23D8"/>
    <w:rPr>
      <w:color w:val="605E5C"/>
      <w:shd w:val="clear" w:color="auto" w:fill="E1DFDD"/>
    </w:rPr>
  </w:style>
  <w:style w:type="paragraph" w:customStyle="1" w:styleId="Default">
    <w:name w:val="Default"/>
    <w:rsid w:val="005D23D8"/>
    <w:pPr>
      <w:widowControl/>
      <w:adjustRightInd w:val="0"/>
    </w:pPr>
    <w:rPr>
      <w:rFonts w:ascii="Arial" w:eastAsia="Calibri" w:hAnsi="Arial" w:cs="Arial"/>
      <w:color w:val="000000"/>
      <w:sz w:val="24"/>
      <w:szCs w:val="24"/>
    </w:rPr>
  </w:style>
  <w:style w:type="character" w:customStyle="1" w:styleId="regulartext1">
    <w:name w:val="regulartext1"/>
    <w:rsid w:val="005D23D8"/>
    <w:rPr>
      <w:rFonts w:ascii="Arial" w:hAnsi="Arial" w:cs="Arial" w:hint="default"/>
      <w:b w:val="0"/>
      <w:bCs w:val="0"/>
      <w:color w:val="000000"/>
      <w:sz w:val="24"/>
      <w:szCs w:val="24"/>
    </w:rPr>
  </w:style>
  <w:style w:type="table" w:styleId="TableGrid">
    <w:name w:val="Table Grid"/>
    <w:basedOn w:val="TableNormal"/>
    <w:uiPriority w:val="59"/>
    <w:rsid w:val="005D23D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57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76C"/>
    <w:rPr>
      <w:rFonts w:ascii="Segoe UI" w:eastAsia="Arial" w:hAnsi="Segoe UI" w:cs="Segoe UI"/>
      <w:sz w:val="18"/>
      <w:szCs w:val="18"/>
      <w:lang w:bidi="en-US"/>
    </w:rPr>
  </w:style>
  <w:style w:type="paragraph" w:styleId="BodyTextIndent">
    <w:name w:val="Body Text Indent"/>
    <w:basedOn w:val="Normal"/>
    <w:link w:val="BodyTextIndentChar"/>
    <w:uiPriority w:val="99"/>
    <w:semiHidden/>
    <w:unhideWhenUsed/>
    <w:rsid w:val="009A46CA"/>
    <w:pPr>
      <w:spacing w:after="120"/>
      <w:ind w:left="360"/>
    </w:pPr>
  </w:style>
  <w:style w:type="character" w:customStyle="1" w:styleId="BodyTextIndentChar">
    <w:name w:val="Body Text Indent Char"/>
    <w:basedOn w:val="DefaultParagraphFont"/>
    <w:link w:val="BodyTextIndent"/>
    <w:uiPriority w:val="99"/>
    <w:semiHidden/>
    <w:rsid w:val="009A46CA"/>
    <w:rPr>
      <w:rFonts w:ascii="Arial" w:eastAsia="Arial" w:hAnsi="Arial" w:cs="Arial"/>
      <w:lang w:bidi="en-US"/>
    </w:rPr>
  </w:style>
  <w:style w:type="paragraph" w:styleId="Revision">
    <w:name w:val="Revision"/>
    <w:hidden/>
    <w:uiPriority w:val="99"/>
    <w:semiHidden/>
    <w:rsid w:val="00334130"/>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334130"/>
    <w:rPr>
      <w:sz w:val="16"/>
      <w:szCs w:val="16"/>
    </w:rPr>
  </w:style>
  <w:style w:type="paragraph" w:styleId="CommentText">
    <w:name w:val="annotation text"/>
    <w:basedOn w:val="Normal"/>
    <w:link w:val="CommentTextChar"/>
    <w:uiPriority w:val="99"/>
    <w:semiHidden/>
    <w:unhideWhenUsed/>
    <w:rsid w:val="00334130"/>
    <w:rPr>
      <w:sz w:val="20"/>
      <w:szCs w:val="20"/>
    </w:rPr>
  </w:style>
  <w:style w:type="character" w:customStyle="1" w:styleId="CommentTextChar">
    <w:name w:val="Comment Text Char"/>
    <w:basedOn w:val="DefaultParagraphFont"/>
    <w:link w:val="CommentText"/>
    <w:uiPriority w:val="99"/>
    <w:semiHidden/>
    <w:rsid w:val="0033413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34130"/>
    <w:rPr>
      <w:b/>
      <w:bCs/>
    </w:rPr>
  </w:style>
  <w:style w:type="character" w:customStyle="1" w:styleId="CommentSubjectChar">
    <w:name w:val="Comment Subject Char"/>
    <w:basedOn w:val="CommentTextChar"/>
    <w:link w:val="CommentSubject"/>
    <w:uiPriority w:val="99"/>
    <w:semiHidden/>
    <w:rsid w:val="00334130"/>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ahayashi@ucdavis.edu" TargetMode="External"/><Relationship Id="rId3" Type="http://schemas.openxmlformats.org/officeDocument/2006/relationships/styles" Target="styles.xml"/><Relationship Id="rId7" Type="http://schemas.openxmlformats.org/officeDocument/2006/relationships/hyperlink" Target="mailto:sahayashi@ucdavi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BBA08-1847-4C54-B2EF-A9D56858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HS IT Client Engineering</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Obata</dc:creator>
  <cp:lastModifiedBy>Stacy A Hayashi</cp:lastModifiedBy>
  <cp:revision>2</cp:revision>
  <cp:lastPrinted>2019-09-26T21:21:00Z</cp:lastPrinted>
  <dcterms:created xsi:type="dcterms:W3CDTF">2021-12-14T00:54:00Z</dcterms:created>
  <dcterms:modified xsi:type="dcterms:W3CDTF">2021-12-14T00:54:00Z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Adobe InDesign 14.0 (Windows)</vt:lpwstr>
  </property>
  <property fmtid="{D5CDD505-2E9C-101B-9397-08002B2CF9AE}" pid="4" name="LastSaved">
    <vt:filetime>2019-08-07T00:00:00Z</vt:filetime>
  </property>
</Properties>
</file>